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www.westlaw.com/Document/Ic2356f58e7bc11d9b386b232635db992/View/FullText.html?listSource=Search&amp;list=CASE&amp;rank=1&amp;sessionScopeId=f2929310e2e8ca328ef94ec336f882c2e2223ce05731b984cfe79e0208a34b3f&amp;ppcid=fb52b9f59c9e4eadb5c3b06cc3fdf359&amp;originationContext=Search%20Result&amp;transitionType=SearchItem&amp;contextData=%28sc.Default%29&amp;VR=3.0&amp;RS=cblt1.0"/>
  <Relationship Id="r8"
    Type="http://schemas.openxmlformats.org/officeDocument/2006/relationships/hyperlink"
    TargetMode="External"
    Target="https://1.next.westlaw.com/Link/Document/FullText?findType=h&amp;pubNum=176284&amp;cite=0150744101&amp;refType=RQ&amp;originationContext=document&amp;transitionType=DocumentItem&amp;ppcid=fb52b9f59c9e4eadb5c3b06cc3fdf359&amp;contextData=(sc.Default)"/>
  <Relationship Id="r9"
    Type="http://schemas.openxmlformats.org/officeDocument/2006/relationships/hyperlink"
    TargetMode="External"
    Target="https://1.next.westlaw.com/Link/Document/FullText?findType=h&amp;pubNum=176284&amp;cite=0235951801&amp;refType=RQ&amp;originationContext=document&amp;transitionType=DocumentItem&amp;ppcid=fb52b9f59c9e4eadb5c3b06cc3fdf359&amp;contextData=(sc.Default)"/>
  <Relationship Id="r10"
    Type="http://schemas.openxmlformats.org/officeDocument/2006/relationships/hyperlink"
    TargetMode="External"
    Target="https://www.westlaw.com/Document/Ic2356f58e7bc11d9b386b232635db992/View/FullText.html?listSource=Search&amp;list=CASE&amp;rank=1&amp;sessionScopeId=f2929310e2e8ca328ef94ec336f882c2e2223ce05731b984cfe79e0208a34b3f&amp;ppcid=fb52b9f59c9e4eadb5c3b06cc3fdf359&amp;originationContext=Search%20Result&amp;transitionType=SearchItem&amp;contextData=%28sc.Default%29&amp;VR=3.0&amp;RS=cblt1.0#co_term_3969"/>
  <Relationship Id="r11"
    Type="http://schemas.openxmlformats.org/officeDocument/2006/relationships/hyperlink"
    TargetMode="External"
    Target="https://www.westlaw.com/Document/I6b5045470ec111d9bde8ee3d49ead4ec/View/FullText.html?listSource=Search&amp;list=CASE&amp;rank=2&amp;sessionScopeId=f2929310e2e8ca328ef94ec336f882c2e2223ce05731b984cfe79e0208a34b3f&amp;ppcid=fb52b9f59c9e4eadb5c3b06cc3fdf359&amp;originationContext=Search%20Result&amp;transitionType=SearchItem&amp;contextData=%28sc.Default%29&amp;VR=3.0&amp;RS=cblt1.0"/>
  <Relationship Id="r12"
    Type="http://schemas.openxmlformats.org/officeDocument/2006/relationships/hyperlink"
    TargetMode="External"
    Target="https://1.next.westlaw.com/Link/Document/FullText?findType=h&amp;pubNum=176284&amp;cite=0234732401&amp;refType=RQ&amp;originationContext=document&amp;transitionType=DocumentItem&amp;ppcid=fb52b9f59c9e4eadb5c3b06cc3fdf359&amp;contextData=(sc.Default)"/>
  <Relationship Id="r13"
    Type="http://schemas.openxmlformats.org/officeDocument/2006/relationships/hyperlink"
    TargetMode="External"
    Target="https://1.next.westlaw.com/Link/Document/FullText?findType=h&amp;pubNum=176284&amp;cite=0149201101&amp;refType=RQ&amp;originationContext=document&amp;transitionType=DocumentItem&amp;ppcid=fb52b9f59c9e4eadb5c3b06cc3fdf359&amp;contextData=(sc.Default)"/>
  <Relationship Id="r14"
    Type="http://schemas.openxmlformats.org/officeDocument/2006/relationships/hyperlink"
    TargetMode="External"
    Target="https://1.next.westlaw.com/Link/Document/FullText?findType=h&amp;pubNum=176284&amp;cite=0233826101&amp;refType=RQ&amp;originationContext=document&amp;transitionType=DocumentItem&amp;ppcid=fb52b9f59c9e4eadb5c3b06cc3fdf359&amp;contextData=(sc.Default)"/>
  <Relationship Id="r15"
    Type="http://schemas.openxmlformats.org/officeDocument/2006/relationships/hyperlink"
    TargetMode="External"
    Target="https://www.westlaw.com/Document/I6b5045470ec111d9bde8ee3d49ead4ec/View/FullText.html?listSource=Search&amp;list=CASE&amp;rank=2&amp;sessionScopeId=f2929310e2e8ca328ef94ec336f882c2e2223ce05731b984cfe79e0208a34b3f&amp;ppcid=fb52b9f59c9e4eadb5c3b06cc3fdf359&amp;originationContext=Search%20Result&amp;transitionType=SearchItem&amp;contextData=%28sc.Default%29&amp;VR=3.0&amp;RS=cblt1.0#co_term_5500"/>
  <Relationship Id="r16"
    Type="http://schemas.openxmlformats.org/officeDocument/2006/relationships/hyperlink"
    TargetMode="External"
    Target="https://www.westlaw.com/Link/RelatedInformation/Flag?docGuid=Ia810cec20eba11d998cacb08b39c0d39&amp;rank=3&amp;listSource=Search&amp;list=CASE&amp;ppcid=fb52b9f59c9e4eadb5c3b06cc3fdf359&amp;originationContext=Search%20Result&amp;transitionType=SearchItem&amp;contextData=%28sc.Default%29&amp;VR=3.0&amp;RS=cblt1.0"/>
  <Relationship Id="r17"
    Type="http://schemas.openxmlformats.org/officeDocument/2006/relationships/hyperlink"
    TargetMode="External"
    Target="https://www.westlaw.com/Document/Ia810cec20eba11d998cacb08b39c0d39/View/FullText.html?listSource=Search&amp;list=CASE&amp;rank=3&amp;sessionScopeId=f2929310e2e8ca328ef94ec336f882c2e2223ce05731b984cfe79e0208a34b3f&amp;ppcid=fb52b9f59c9e4eadb5c3b06cc3fdf359&amp;originationContext=Search%20Result&amp;transitionType=SearchItem&amp;contextData=%28sc.Default%29&amp;VR=3.0&amp;RS=cblt1.0"/>
  <Relationship Id="r18"
    Type="http://schemas.openxmlformats.org/officeDocument/2006/relationships/hyperlink"
    TargetMode="External"
    Target="https://www.westlaw.com/Document/Ia810cec20eba11d998cacb08b39c0d39/View/FullText.html?listSource=Search&amp;list=CASE&amp;rank=3&amp;sessionScopeId=f2929310e2e8ca328ef94ec336f882c2e2223ce05731b984cfe79e0208a34b3f&amp;ppcid=fb52b9f59c9e4eadb5c3b06cc3fdf359&amp;originationContext=Search%20Result&amp;transitionType=SearchItem&amp;contextData=%28sc.Default%29&amp;VR=3.0&amp;RS=cblt1.0#co_term_3742"/>
  <Relationship Id="r19"
    Type="http://schemas.openxmlformats.org/officeDocument/2006/relationships/hyperlink"
    TargetMode="External"
    Target="https://www.westlaw.com/Document/Ia810cec20eba11d998cacb08b39c0d39/View/FullText.html?listSource=Search&amp;list=CASE&amp;rank=3&amp;sessionScopeId=f2929310e2e8ca328ef94ec336f882c2e2223ce05731b984cfe79e0208a34b3f&amp;ppcid=fb52b9f59c9e4eadb5c3b06cc3fdf359&amp;originationContext=Search%20Result&amp;transitionType=SearchItem&amp;contextData=%28sc.Default%29&amp;VR=3.0&amp;RS=cblt1.0#co_term_3914"/>
  <Relationship Id="r20"
    Type="http://schemas.openxmlformats.org/officeDocument/2006/relationships/hyperlink"
    TargetMode="External"
    Target="https://www.westlaw.com/Link/RelatedInformation/Flag?docGuid=I30d616bc44f711dcbd4c839f532b53c5&amp;rank=4&amp;listSource=Search&amp;list=CASE&amp;ppcid=fb52b9f59c9e4eadb5c3b06cc3fdf359&amp;originationContext=Search%20Result&amp;transitionType=SearchItem&amp;contextData=%28sc.Default%29&amp;VR=3.0&amp;RS=cblt1.0"/>
  <Relationship Id="r21"
    Type="http://schemas.openxmlformats.org/officeDocument/2006/relationships/hyperlink"
    TargetMode="External"
    Target="https://www.westlaw.com/Document/I30d616bc44f711dcbd4c839f532b53c5/View/FullText.html?listSource=Search&amp;list=CASE&amp;rank=4&amp;sessionScopeId=f2929310e2e8ca328ef94ec336f882c2e2223ce05731b984cfe79e0208a34b3f&amp;ppcid=fb52b9f59c9e4eadb5c3b06cc3fdf359&amp;originationContext=Search%20Result&amp;transitionType=SearchItem&amp;contextData=%28sc.Default%29&amp;VR=3.0&amp;RS=cblt1.0"/>
  <Relationship Id="r22"
    Type="http://schemas.openxmlformats.org/officeDocument/2006/relationships/hyperlink"
    TargetMode="External"
    Target="https://1.next.westlaw.com/Link/Document/FullText?findType=Y&amp;serNum=2008893856&amp;pubNum=4644&amp;refType=RP&amp;originationContext=document&amp;transitionType=DocumentItem&amp;ppcid=fb52b9f59c9e4eadb5c3b06cc3fdf359&amp;contextData=(sc.Default)"/>
  <Relationship Id="r23"
    Type="http://schemas.openxmlformats.org/officeDocument/2006/relationships/hyperlink"
    TargetMode="External"
    Target="https://1.next.westlaw.com/Link/Document/FullText?findType=h&amp;pubNum=176284&amp;cite=0316889101&amp;refType=RQ&amp;originationContext=document&amp;transitionType=DocumentItem&amp;ppcid=fb52b9f59c9e4eadb5c3b06cc3fdf359&amp;contextData=(sc.Default)"/>
  <Relationship Id="r24"
    Type="http://schemas.openxmlformats.org/officeDocument/2006/relationships/hyperlink"
    TargetMode="External"
    Target="https://www.westlaw.com/Document/I30d616bc44f711dcbd4c839f532b53c5/View/FullText.html?listSource=Search&amp;list=CASE&amp;rank=4&amp;sessionScopeId=f2929310e2e8ca328ef94ec336f882c2e2223ce05731b984cfe79e0208a34b3f&amp;ppcid=fb52b9f59c9e4eadb5c3b06cc3fdf359&amp;originationContext=Search%20Result&amp;transitionType=SearchItem&amp;contextData=%28sc.Default%29&amp;VR=3.0&amp;RS=cblt1.0#co_term_3006"/>
  <Relationship Id="r25"
    Type="http://schemas.openxmlformats.org/officeDocument/2006/relationships/hyperlink"
    TargetMode="External"
    Target="https://www.westlaw.com/Document/I17015a180e9911d9bde8ee3d49ead4ec/View/FullText.html?listSource=Search&amp;list=CASE&amp;rank=5&amp;sessionScopeId=f2929310e2e8ca328ef94ec336f882c2e2223ce05731b984cfe79e0208a34b3f&amp;ppcid=fb52b9f59c9e4eadb5c3b06cc3fdf359&amp;originationContext=Search%20Result&amp;transitionType=SearchItem&amp;contextData=%28sc.Default%29&amp;VR=3.0&amp;RS=cblt1.0"/>
  <Relationship Id="r26"
    Type="http://schemas.openxmlformats.org/officeDocument/2006/relationships/hyperlink"
    TargetMode="External"
    Target="https://1.next.westlaw.com/Link/Document/FullText?findType=h&amp;pubNum=176284&amp;cite=0156030201&amp;refType=RQ&amp;originationContext=document&amp;transitionType=DocumentItem&amp;ppcid=fb52b9f59c9e4eadb5c3b06cc3fdf359&amp;contextData=(sc.Default)"/>
  <Relationship Id="r27"
    Type="http://schemas.openxmlformats.org/officeDocument/2006/relationships/hyperlink"
    TargetMode="External"
    Target="https://1.next.westlaw.com/Link/Document/FullText?findType=h&amp;pubNum=176284&amp;cite=0218928101&amp;refType=RQ&amp;originationContext=document&amp;transitionType=DocumentItem&amp;ppcid=fb52b9f59c9e4eadb5c3b06cc3fdf359&amp;contextData=(sc.Default)"/>
  <Relationship Id="r28"
    Type="http://schemas.openxmlformats.org/officeDocument/2006/relationships/hyperlink"
    TargetMode="External"
    Target="https://1.next.westlaw.com/Link/Document/FullText?findType=h&amp;pubNum=176284&amp;cite=0233826101&amp;refType=RQ&amp;originationContext=document&amp;transitionType=DocumentItem&amp;ppcid=fb52b9f59c9e4eadb5c3b06cc3fdf359&amp;contextData=(sc.Default)"/>
  <Relationship Id="r29"
    Type="http://schemas.openxmlformats.org/officeDocument/2006/relationships/hyperlink"
    TargetMode="External"
    Target="https://www.westlaw.com/Document/I17015a180e9911d9bde8ee3d49ead4ec/View/FullText.html?listSource=Search&amp;list=CASE&amp;rank=5&amp;sessionScopeId=f2929310e2e8ca328ef94ec336f882c2e2223ce05731b984cfe79e0208a34b3f&amp;ppcid=fb52b9f59c9e4eadb5c3b06cc3fdf359&amp;originationContext=Search%20Result&amp;transitionType=SearchItem&amp;contextData=%28sc.Default%29&amp;VR=3.0&amp;RS=cblt1.0#co_term_2304"/>
  <Relationship Id="r30"
    Type="http://schemas.openxmlformats.org/officeDocument/2006/relationships/hyperlink"
    TargetMode="External"
    Target="https://www.westlaw.com/Document/Iee1ab9109cf811e6972aa83e6c16e5f7/View/FullText.html?listSource=Search&amp;list=CASE&amp;rank=6&amp;sessionScopeId=f2929310e2e8ca328ef94ec336f882c2e2223ce05731b984cfe79e0208a34b3f&amp;ppcid=fb52b9f59c9e4eadb5c3b06cc3fdf359&amp;originationContext=Search%20Result&amp;transitionType=SearchItem&amp;contextData=%28sc.Default%29&amp;VR=3.0&amp;RS=cblt1.0"/>
  <Relationship Id="r31"
    Type="http://schemas.openxmlformats.org/officeDocument/2006/relationships/hyperlink"
    TargetMode="External"
    Target="https://1.next.westlaw.com/Link/Document/FullText?findType=h&amp;pubNum=176284&amp;cite=0394962105&amp;refType=RQ&amp;originationContext=document&amp;transitionType=DocumentItem&amp;ppcid=fb52b9f59c9e4eadb5c3b06cc3fdf359&amp;contextData=(sc.Default)"/>
  <Relationship Id="r32"
    Type="http://schemas.openxmlformats.org/officeDocument/2006/relationships/hyperlink"
    TargetMode="External"
    Target="https://1.next.westlaw.com/Link/Document/FullText?findType=h&amp;pubNum=176284&amp;cite=0218928101&amp;refType=RQ&amp;originationContext=document&amp;transitionType=DocumentItem&amp;ppcid=fb52b9f59c9e4eadb5c3b06cc3fdf359&amp;contextData=(sc.Default)"/>
  <Relationship Id="r33"
    Type="http://schemas.openxmlformats.org/officeDocument/2006/relationships/hyperlink"
    TargetMode="External"
    Target="https://www.westlaw.com/Document/Iee1ab9109cf811e6972aa83e6c16e5f7/View/FullText.html?listSource=Search&amp;list=CASE&amp;rank=6&amp;sessionScopeId=f2929310e2e8ca328ef94ec336f882c2e2223ce05731b984cfe79e0208a34b3f&amp;ppcid=fb52b9f59c9e4eadb5c3b06cc3fdf359&amp;originationContext=Search%20Result&amp;transitionType=SearchItem&amp;contextData=%28sc.Default%29&amp;VR=3.0&amp;RS=cblt1.0#co_term_872"/>
  <Relationship Id="r34"
    Type="http://schemas.openxmlformats.org/officeDocument/2006/relationships/hyperlink"
    TargetMode="External"
    Target="https://www.westlaw.com/Document/Iee1ab9109cf811e6972aa83e6c16e5f7/View/FullText.html?listSource=Search&amp;list=CASE&amp;rank=6&amp;sessionScopeId=f2929310e2e8ca328ef94ec336f882c2e2223ce05731b984cfe79e0208a34b3f&amp;ppcid=fb52b9f59c9e4eadb5c3b06cc3fdf359&amp;originationContext=Search%20Result&amp;transitionType=SearchItem&amp;contextData=%28sc.Default%29&amp;VR=3.0&amp;RS=cblt1.0#co_term_6510"/>
  <Relationship Id="r35"
    Type="http://schemas.openxmlformats.org/officeDocument/2006/relationships/image"
    Target="images/2.png"/>
  <Relationship Id="r36"
    Type="http://schemas.openxmlformats.org/officeDocument/2006/relationships/image"
    Target="images/3.png"/>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balt_search_case_results"/>
    <w:p>
      <w:pPr>
        <w:spacing w:before="0" w:after="0" w:line="319" w:lineRule="atLeast"/>
      </w:pPr>
    </w:p>
    <w:bookmarkEnd w:id="0"/>
    <w:bookmarkStart w:id="1" w:name="cobalt_search_case_results_header"/>
    <w:p>
      <w:pPr>
        <w:spacing w:before="0" w:after="0" w:line="319" w:lineRule="atLeast"/>
      </w:pPr>
    </w:p>
    <w:bookmarkEnd w:id="1"/>
    <w:tbl>
      <w:tblPr>
        <w:tblLayout w:type="fixed"/>
      </w:tblPr>
      <w:tblGrid>
        <w:gridCol w:w="720"/>
        <w:gridCol w:w="9360"/>
      </w:tblGrid>
      <w:bookmarkStart w:id="2" w:name="cobalt_search_results_case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w:t>
            </w:r>
            <w:r>
              <w:rPr>
                <w:rFonts w:ascii="Arial" w:hAnsi="Arial"/>
                <w:b/>
                <w:color w:val="000000"/>
                <w:sz w:val="24"/>
              </w:rPr>
              <w:t xml:space="preserve"> </w:t>
            </w:r>
            <w:hyperlink r:id="r7">
              <w:bookmarkStart w:id="3" w:name="cobalt_result_case_title1"/>
              <w:r>
                <w:rPr>
                  <w:rFonts w:ascii="Arial" w:hAnsi="Arial"/>
                  <w:b/>
                  <w:color w:val="000000"/>
                  <w:sz w:val="24"/>
                </w:rPr>
                <w:t xml:space="preserve">Ours v. City of Rolla </w:t>
              </w:r>
              <w:bookmarkEnd w:id="3"/>
            </w:hyperlink>
          </w:p>
          <w:bookmarkStart w:id="4" w:name="co_searchResults_citation_1"/>
          <w:p>
            <w:pPr>
              <w:spacing w:before="0" w:after="0" w:line="220" w:lineRule="atLeast"/>
            </w:pPr>
            <w:r>
              <w:rPr>
                <w:rFonts w:ascii="Arial" w:hAnsi="Arial"/>
                <w:color w:val="696969"/>
                <w:sz w:val="18"/>
              </w:rPr>
              <w:t>Missouri Court of Appeals, Southern District, Division One.</w:t>
            </w:r>
            <w:r>
              <w:rPr>
                <w:rFonts w:ascii="Arial" w:hAnsi="Arial"/>
                <w:color w:val="696969"/>
                <w:sz w:val="18"/>
              </w:rPr>
              <w:t xml:space="preserve"> </w:t>
            </w:r>
            <w:r>
              <w:rPr>
                <w:rFonts w:ascii="Arial" w:hAnsi="Arial"/>
                <w:color w:val="696969"/>
                <w:sz w:val="18"/>
              </w:rPr>
              <w:t>February 26, 1998</w:t>
            </w:r>
            <w:r>
              <w:rPr>
                <w:rFonts w:ascii="Arial" w:hAnsi="Arial"/>
                <w:color w:val="696969"/>
                <w:sz w:val="18"/>
              </w:rPr>
              <w:t xml:space="preserve"> </w:t>
            </w:r>
            <w:r>
              <w:rPr>
                <w:rFonts w:ascii="Arial" w:hAnsi="Arial"/>
                <w:color w:val="696969"/>
                <w:sz w:val="18"/>
              </w:rPr>
              <w:t>965 S.W.2d 343</w:t>
            </w:r>
            <w:r>
              <w:rPr>
                <w:rFonts w:ascii="Arial" w:hAnsi="Arial"/>
                <w:color w:val="696969"/>
                <w:sz w:val="18"/>
              </w:rPr>
              <w:t xml:space="preserve"> </w:t>
            </w:r>
            <w:r>
              <w:rPr>
                <w:rFonts w:ascii="Arial" w:hAnsi="Arial"/>
                <w:color w:val="696969"/>
                <w:sz w:val="18"/>
              </w:rPr>
              <w:t>1998 WL 78757</w:t>
            </w:r>
          </w:p>
          <w:bookmarkEnd w:id="4"/>
          <w:bookmarkStart w:id="5" w:name="co_searchResults_summary_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Municipalities. City residents seeking to enjoin city from selling public park lacked standing to sue as inhabitants and property owners, as users of park, or as taxpayers.</w:t>
            </w:r>
          </w:p>
          <w:bookmarkEnd w:id="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City residents brought action to enjoin city, mayor and city council members from selling public park. The Circuit Court, Phelps County, </w:t>
            </w:r>
            <w:hyperlink r:id="r8">
              <w:bookmarkStart w:id="6" w:name="co_link_I482240ad93ad11ea80afece7991500"/>
              <w:r>
                <w:rPr>
                  <w:rFonts w:ascii="Arial" w:hAnsi="Arial"/>
                  <w:color w:val="000000"/>
                  <w:sz w:val="20"/>
                </w:rPr>
                <w:t>Jack O. Edwards</w:t>
              </w:r>
              <w:bookmarkEnd w:id="6"/>
            </w:hyperlink>
            <w:r>
              <w:rPr>
                <w:rFonts w:ascii="Arial" w:hAnsi="Arial"/>
                <w:color w:val="000000"/>
                <w:sz w:val="20"/>
              </w:rPr>
              <w:t xml:space="preserve">, J., denied requested relief, and city residents appealed. The Court of Appeals, </w:t>
            </w:r>
            <w:hyperlink r:id="r9">
              <w:bookmarkStart w:id="7" w:name="co_link_I482240ae93ad11ea80afece7991500"/>
              <w:r>
                <w:rPr>
                  <w:rFonts w:ascii="Arial" w:hAnsi="Arial"/>
                  <w:color w:val="000000"/>
                  <w:sz w:val="20"/>
                </w:rPr>
                <w:t>Prewitt</w:t>
              </w:r>
              <w:bookmarkEnd w:id="7"/>
            </w:hyperlink>
            <w:r>
              <w:rPr>
                <w:rFonts w:ascii="Arial" w:hAnsi="Arial"/>
                <w:color w:val="000000"/>
                <w:sz w:val="20"/>
              </w:rPr>
              <w:t>, J., held that city residents lacked standing to sue as inhabitants and property owners, as users of park, or as taxpayers.</w:t>
            </w:r>
          </w:p>
          <w:p>
            <w:pPr>
              <w:spacing w:before="0" w:after="0" w:line="225" w:lineRule="atLeast"/>
            </w:pPr>
            <w:r>
              <w:rPr>
                <w:rFonts w:ascii="Arial" w:hAnsi="Arial"/>
                <w:color w:val="000000"/>
                <w:sz w:val="20"/>
              </w:rPr>
              <w:t>Affirmed.</w:t>
            </w:r>
          </w:p>
          <w:p>
            <w:pPr>
              <w:spacing w:before="0" w:after="0" w:line="225" w:lineRule="atLeast"/>
            </w:pPr>
            <w:r>
              <w:rPr>
                <w:rFonts w:ascii="Arial" w:hAnsi="Arial"/>
                <w:color w:val="000000"/>
                <w:sz w:val="20"/>
              </w:rPr>
              <w:t>Garrison, P.J., filed dissenting opinion.</w:t>
            </w:r>
          </w:p>
          <w:p>
            <w:pPr>
              <w:spacing w:before="0" w:after="0" w:line="225" w:lineRule="atLeast"/>
            </w:pPr>
            <w:bookmarkStart w:id="8" w:name="co_document_metaInfo_Ic2356f58e7bc11d9b"/>
            <w:bookmarkEnd w:id="8"/>
            <w:bookmarkStart w:id="9" w:name="co_documentContentCacheKey"/>
            <w:bookmarkEnd w:id="9"/>
          </w:p>
          <w:bookmarkStart w:id="10" w:name="co_snippet_1_1"/>
          <w:p>
            <w:pPr>
              <w:spacing w:before="100" w:after="0" w:line="225" w:lineRule="atLeast"/>
            </w:pPr>
            <w:hyperlink r:id="r10">
              <w:bookmarkStart w:id="11" w:name="cobalt_result_case_snippet_1_1"/>
              <w:r>
                <w:rPr>
                  <w:rFonts w:ascii="Arial" w:hAnsi="Arial"/>
                  <w:color w:val="000000"/>
                  <w:sz w:val="20"/>
                </w:rPr>
                <w:t xml:space="preserve">...of ordinary citizens in enforcing public trusts, saying, “If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is to have any meaning or vitality at all, the...</w:t>
              </w:r>
              <w:bookmarkEnd w:id="11"/>
            </w:hyperlink>
          </w:p>
          <w:bookmarkEnd w:id="10"/>
        </w:tc>
      </w:tr>
      <w:bookmarkEnd w:id="2"/>
      <w:bookmarkStart w:id="12" w:name="cobalt_search_results_case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w:t>
            </w:r>
            <w:r>
              <w:rPr>
                <w:rFonts w:ascii="Arial" w:hAnsi="Arial"/>
                <w:b/>
                <w:color w:val="000000"/>
                <w:sz w:val="24"/>
              </w:rPr>
              <w:t xml:space="preserve"> </w:t>
            </w:r>
            <w:hyperlink r:id="r11">
              <w:bookmarkStart w:id="13" w:name="cobalt_result_case_title2"/>
              <w:r>
                <w:rPr>
                  <w:rFonts w:ascii="Arial" w:hAnsi="Arial"/>
                  <w:b/>
                  <w:color w:val="000000"/>
                  <w:sz w:val="24"/>
                </w:rPr>
                <w:t xml:space="preserve">Secretary of State v. Wiesenberg </w:t>
              </w:r>
              <w:bookmarkEnd w:id="13"/>
            </w:hyperlink>
          </w:p>
          <w:bookmarkStart w:id="14" w:name="co_searchResults_citation_2"/>
          <w:p>
            <w:pPr>
              <w:spacing w:before="0" w:after="0" w:line="220" w:lineRule="atLeast"/>
            </w:pPr>
            <w:r>
              <w:rPr>
                <w:rFonts w:ascii="Arial" w:hAnsi="Arial"/>
                <w:color w:val="696969"/>
                <w:sz w:val="18"/>
              </w:rPr>
              <w:t>Supreme Court of Mississippi.</w:t>
            </w:r>
            <w:r>
              <w:rPr>
                <w:rFonts w:ascii="Arial" w:hAnsi="Arial"/>
                <w:color w:val="696969"/>
                <w:sz w:val="18"/>
              </w:rPr>
              <w:t xml:space="preserve"> </w:t>
            </w:r>
            <w:r>
              <w:rPr>
                <w:rFonts w:ascii="Arial" w:hAnsi="Arial"/>
                <w:color w:val="696969"/>
                <w:sz w:val="18"/>
              </w:rPr>
              <w:t>January 27, 1994</w:t>
            </w:r>
            <w:r>
              <w:rPr>
                <w:rFonts w:ascii="Arial" w:hAnsi="Arial"/>
                <w:color w:val="696969"/>
                <w:sz w:val="18"/>
              </w:rPr>
              <w:t xml:space="preserve"> </w:t>
            </w:r>
            <w:r>
              <w:rPr>
                <w:rFonts w:ascii="Arial" w:hAnsi="Arial"/>
                <w:color w:val="696969"/>
                <w:sz w:val="18"/>
              </w:rPr>
              <w:t>633 So.2d 983</w:t>
            </w:r>
            <w:r>
              <w:rPr>
                <w:rFonts w:ascii="Arial" w:hAnsi="Arial"/>
                <w:color w:val="696969"/>
                <w:sz w:val="18"/>
              </w:rPr>
              <w:t xml:space="preserve"> </w:t>
            </w:r>
            <w:r>
              <w:rPr>
                <w:rFonts w:ascii="Arial" w:hAnsi="Arial"/>
                <w:color w:val="696969"/>
                <w:sz w:val="18"/>
              </w:rPr>
              <w:t>1994 WL 20985</w:t>
            </w:r>
          </w:p>
          <w:bookmarkEnd w:id="14"/>
          <w:bookmarkStart w:id="15" w:name="co_searchResults_summary_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Property owner sued to confirm title on waterfront property. Secretary of State sued for declaratory relief seeking to have Public Trust Tidelands Legislation of 1989 (Tidelands Act) declared unconstitutional. The Chancery County, Second Judicial District, Harrison County, William Leonard Stewart, Chancellor, found Tidelands Act...</w:t>
            </w:r>
          </w:p>
          <w:bookmarkEnd w:id="1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Property owner sued to confirm title on waterfront property. Secretary of State sued for declaratory relief seeking to have Public Trust Tidelands Legislation of 1989 (Tidelands Act) declared unconstitutional. The Chancery County, Second Judicial District, Harrison County, </w:t>
            </w:r>
            <w:hyperlink r:id="r12">
              <w:bookmarkStart w:id="16" w:name="co_link_Iab1dd441412711ebbea4f0dc9fb695"/>
              <w:r>
                <w:rPr>
                  <w:rFonts w:ascii="Arial" w:hAnsi="Arial"/>
                  <w:color w:val="000000"/>
                  <w:sz w:val="20"/>
                </w:rPr>
                <w:t>William Leonard Stewart</w:t>
              </w:r>
              <w:bookmarkEnd w:id="16"/>
            </w:hyperlink>
            <w:r>
              <w:rPr>
                <w:rFonts w:ascii="Arial" w:hAnsi="Arial"/>
                <w:color w:val="000000"/>
                <w:sz w:val="20"/>
              </w:rPr>
              <w:t xml:space="preserve">, Chancellor, found Tidelands Act constitutional. Secretary of State appealed. The Supreme Court, </w:t>
            </w:r>
            <w:hyperlink r:id="r13">
              <w:bookmarkStart w:id="17" w:name="co_link_Iab1dd442412711ebbea4f0dc9fb695"/>
              <w:r>
                <w:rPr>
                  <w:rFonts w:ascii="Arial" w:hAnsi="Arial"/>
                  <w:color w:val="000000"/>
                  <w:sz w:val="20"/>
                </w:rPr>
                <w:t>Pittman</w:t>
              </w:r>
              <w:bookmarkEnd w:id="17"/>
            </w:hyperlink>
            <w:r>
              <w:rPr>
                <w:rFonts w:ascii="Arial" w:hAnsi="Arial"/>
                <w:color w:val="000000"/>
                <w:sz w:val="20"/>
              </w:rPr>
              <w:t>, J., held that: (1) Tidelands Act did not result in impermissible donation of public trust lands; (2) Tidelands Act was not private or local legislation prohibited by State Constitution; (3) Tidelands Act was not unconstitutionally vague; and (4) Tidelands Act did not violate separation of powers doctrine.</w:t>
            </w:r>
          </w:p>
          <w:p>
            <w:pPr>
              <w:spacing w:before="0" w:after="0" w:line="225" w:lineRule="atLeast"/>
            </w:pPr>
            <w:r>
              <w:rPr>
                <w:rFonts w:ascii="Arial" w:hAnsi="Arial"/>
                <w:color w:val="000000"/>
                <w:sz w:val="20"/>
              </w:rPr>
              <w:t>Affirmed.</w:t>
            </w:r>
          </w:p>
          <w:p>
            <w:pPr>
              <w:spacing w:before="0" w:after="0" w:line="225" w:lineRule="atLeast"/>
            </w:pPr>
            <w:hyperlink r:id="r14">
              <w:bookmarkStart w:id="18" w:name="co_link_Iab1dd444412711ebbea4f0dc9fb695"/>
              <w:r>
                <w:rPr>
                  <w:rFonts w:ascii="Arial" w:hAnsi="Arial"/>
                  <w:color w:val="000000"/>
                  <w:sz w:val="20"/>
                </w:rPr>
                <w:t>McRae</w:t>
              </w:r>
              <w:bookmarkEnd w:id="18"/>
            </w:hyperlink>
            <w:r>
              <w:rPr>
                <w:rFonts w:ascii="Arial" w:hAnsi="Arial"/>
                <w:color w:val="000000"/>
                <w:sz w:val="20"/>
              </w:rPr>
              <w:t>, J., dissented and filed opinion.</w:t>
            </w:r>
          </w:p>
          <w:p>
            <w:pPr>
              <w:spacing w:before="0" w:after="0" w:line="225" w:lineRule="atLeast"/>
            </w:pPr>
            <w:bookmarkStart w:id="19" w:name="co_document_metaInfo_I6b5045470ec111d9b"/>
            <w:bookmarkEnd w:id="19"/>
            <w:bookmarkStart w:id="20" w:name="co_documentContentCacheKey1"/>
            <w:bookmarkEnd w:id="20"/>
          </w:p>
          <w:bookmarkStart w:id="21" w:name="co_snippet_2_1"/>
          <w:p>
            <w:pPr>
              <w:spacing w:before="100" w:after="0" w:line="225" w:lineRule="atLeast"/>
            </w:pPr>
            <w:hyperlink r:id="r15">
              <w:bookmarkStart w:id="22" w:name="cobalt_result_case_snippet_2_1"/>
              <w:r>
                <w:rPr>
                  <w:rFonts w:ascii="Arial" w:hAnsi="Arial"/>
                  <w:color w:val="000000"/>
                  <w:sz w:val="20"/>
                </w:rPr>
                <w:t xml:space="preserve">...significant enough (not a higher purpose) to warrant overriding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order to grant fee simple ownership to the petitioners...</w:t>
              </w:r>
              <w:bookmarkEnd w:id="22"/>
            </w:hyperlink>
          </w:p>
          <w:bookmarkEnd w:id="21"/>
        </w:tc>
      </w:tr>
      <w:bookmarkEnd w:id="12"/>
      <w:bookmarkStart w:id="23" w:name="cobalt_search_results_case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6">
              <w:bookmarkStart w:id="24" w:name="co_search_case_citatorFlagImage_3"/>
              <w:r>
                <w:rPr>
                  <w:rFonts w:ascii="Arial" w:hAnsi="Arial"/>
                  <w:color w:val="000000"/>
                  <w:sz w:val="24"/>
                </w:rPr>
                <w:drawing>
                  <wp:inline>
                    <wp:extent cx="130642" cy="130642"/>
                    <wp:docPr id="1" name="Picture 1"/>
                    <a:graphic>
                      <a:graphicData uri="http://schemas.openxmlformats.org/drawingml/2006/picture">
                        <p:pic>
                          <p:nvPicPr>
                            <p:cNvPr id="2" name="Picture 1"/>
                            <p:cNvPicPr/>
                          </p:nvPicPr>
                          <p:blipFill>
                            <a:blip r:embed="r35"/>
                            <a:srcRect/>
                            <a:stretch>
                              <a:fillRect/>
                            </a:stretch>
                          </p:blipFill>
                          <p:spPr>
                            <a:xfrm>
                              <a:off x="0" y="0"/>
                              <a:ext cx="130642" cy="130642"/>
                            </a:xfrm>
                            <a:prstGeom prst="rect"/>
                          </p:spPr>
                        </p:pic>
                      </a:graphicData>
                    </a:graphic>
                  </wp:inline>
                </w:drawing>
              </w:r>
              <w:bookmarkEnd w:id="2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w:t>
            </w:r>
            <w:r>
              <w:rPr>
                <w:rFonts w:ascii="Arial" w:hAnsi="Arial"/>
                <w:b/>
                <w:color w:val="000000"/>
                <w:sz w:val="24"/>
              </w:rPr>
              <w:t xml:space="preserve"> </w:t>
            </w:r>
            <w:hyperlink r:id="r17">
              <w:bookmarkStart w:id="25" w:name="cobalt_result_case_title3"/>
              <w:r>
                <w:rPr>
                  <w:rFonts w:ascii="Arial" w:hAnsi="Arial"/>
                  <w:b/>
                  <w:color w:val="000000"/>
                  <w:sz w:val="24"/>
                </w:rPr>
                <w:t xml:space="preserve">Cinque Bambini Partnership v. State </w:t>
              </w:r>
              <w:bookmarkEnd w:id="25"/>
            </w:hyperlink>
          </w:p>
          <w:bookmarkStart w:id="26" w:name="co_searchResults_citation_3"/>
          <w:p>
            <w:pPr>
              <w:spacing w:before="0" w:after="0" w:line="220" w:lineRule="atLeast"/>
            </w:pPr>
            <w:r>
              <w:rPr>
                <w:rFonts w:ascii="Arial" w:hAnsi="Arial"/>
                <w:color w:val="696969"/>
                <w:sz w:val="18"/>
              </w:rPr>
              <w:t>Supreme Court of Mississippi.</w:t>
            </w:r>
            <w:r>
              <w:rPr>
                <w:rFonts w:ascii="Arial" w:hAnsi="Arial"/>
                <w:color w:val="696969"/>
                <w:sz w:val="18"/>
              </w:rPr>
              <w:t xml:space="preserve"> </w:t>
            </w:r>
            <w:r>
              <w:rPr>
                <w:rFonts w:ascii="Arial" w:hAnsi="Arial"/>
                <w:color w:val="696969"/>
                <w:sz w:val="18"/>
              </w:rPr>
              <w:t>May 14, 1986</w:t>
            </w:r>
            <w:r>
              <w:rPr>
                <w:rFonts w:ascii="Arial" w:hAnsi="Arial"/>
                <w:color w:val="696969"/>
                <w:sz w:val="18"/>
              </w:rPr>
              <w:t xml:space="preserve"> </w:t>
            </w:r>
            <w:r>
              <w:rPr>
                <w:rFonts w:ascii="Arial" w:hAnsi="Arial"/>
                <w:color w:val="696969"/>
                <w:sz w:val="18"/>
              </w:rPr>
              <w:t>491 So.2d 508</w:t>
            </w:r>
          </w:p>
          <w:bookmarkEnd w:id="26"/>
          <w:bookmarkStart w:id="27" w:name="co_searchResults_summary_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Claimants brought action against State to remove clouds from title resulting from oil leases granted by State. The Chancery Court, Hancock County, William L. Stewart, Chancellor, set the geographical contours of the public trust over tidelands and claimants appealed. The Supreme Court, Robertson, J., held that: (1) fee simple...</w:t>
            </w:r>
          </w:p>
          <w:bookmarkEnd w:id="2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Claimants brought action against State to remove clouds from title resulting from oil leases granted by State. The Chancery Court, Hancock County, William L. Stewart, Chancellor, set the geographical contours of the public trust over tidelands and claimants appealed. The Supreme Court, Robertson, J., held that: (1) fee simple title to all lands naturally subject to tidal influence inland to the current mean high water-mark is held by the State of Mississippi in trust, and (2) lands brought within the ebb and flow of tide by avulsion or by artificial or nonnatural means are owned by their record titleholders.</w:t>
            </w:r>
          </w:p>
          <w:p>
            <w:pPr>
              <w:spacing w:before="0" w:after="0" w:line="225" w:lineRule="atLeast"/>
            </w:pPr>
            <w:r>
              <w:rPr>
                <w:rFonts w:ascii="Arial" w:hAnsi="Arial"/>
                <w:color w:val="000000"/>
                <w:sz w:val="20"/>
              </w:rPr>
              <w:t>Affirmed in part and reversed in part and remanded.</w:t>
            </w:r>
          </w:p>
          <w:p>
            <w:pPr>
              <w:spacing w:before="0" w:after="0" w:line="225" w:lineRule="atLeast"/>
            </w:pPr>
            <w:bookmarkStart w:id="28" w:name="co_document_metaInfo_Ia810cec20eba11d99"/>
            <w:bookmarkEnd w:id="28"/>
            <w:bookmarkStart w:id="29" w:name="co_documentContentCacheKey2"/>
            <w:bookmarkEnd w:id="29"/>
          </w:p>
          <w:bookmarkStart w:id="30" w:name="co_snippet_3_1"/>
          <w:p>
            <w:pPr>
              <w:spacing w:before="100" w:after="0" w:line="225" w:lineRule="atLeast"/>
            </w:pPr>
            <w:hyperlink r:id="r18">
              <w:bookmarkStart w:id="31" w:name="cobalt_result_case_snippet_3_1"/>
              <w:r>
                <w:rPr>
                  <w:rFonts w:ascii="Arial" w:hAnsi="Arial"/>
                  <w:color w:val="000000"/>
                  <w:sz w:val="20"/>
                </w:rPr>
                <w:t xml:space="preserve">...has been published in recent years. See, e.g., Sax,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Natural Resource Law: Effective Judicial Intervention, 68 Mich.L.Rev. 473 (1970) ; Sax, Liberating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From Its Historical Shackles, 14 U.C.Davis L.Rev. 185 (1980) ; Stevens...</w:t>
              </w:r>
              <w:bookmarkEnd w:id="31"/>
            </w:hyperlink>
          </w:p>
          <w:bookmarkEnd w:id="30"/>
          <w:bookmarkStart w:id="32" w:name="co_snippet_3_2"/>
          <w:p>
            <w:pPr>
              <w:spacing w:before="100" w:after="0" w:line="225" w:lineRule="atLeast"/>
            </w:pPr>
            <w:hyperlink r:id="r19">
              <w:bookmarkStart w:id="33" w:name="cobalt_result_case_snippet_3_2"/>
              <w:r>
                <w:rPr>
                  <w:rFonts w:ascii="Arial" w:hAnsi="Arial"/>
                  <w:color w:val="000000"/>
                  <w:sz w:val="20"/>
                </w:rPr>
                <w:t xml:space="preserve">...articles. Collectively, they provide a valuable context for understanding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its importance, yesterday and today. The public purposes to...</w:t>
              </w:r>
              <w:bookmarkEnd w:id="33"/>
            </w:hyperlink>
          </w:p>
          <w:bookmarkEnd w:id="32"/>
        </w:tc>
      </w:tr>
      <w:bookmarkEnd w:id="23"/>
      <w:bookmarkStart w:id="34" w:name="cobalt_search_results_case4"/>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0">
              <w:bookmarkStart w:id="35" w:name="co_search_case_citatorFlagImage_4"/>
              <w:r>
                <w:rPr>
                  <w:rFonts w:ascii="Arial" w:hAnsi="Arial"/>
                  <w:color w:val="000000"/>
                  <w:sz w:val="24"/>
                </w:rPr>
                <w:drawing>
                  <wp:inline>
                    <wp:extent cx="130642" cy="130642"/>
                    <wp:docPr id="3" name="Picture 1"/>
                    <a:graphic>
                      <a:graphicData uri="http://schemas.openxmlformats.org/drawingml/2006/picture">
                        <p:pic>
                          <p:nvPicPr>
                            <p:cNvPr id="4" name="Picture 1"/>
                            <p:cNvPicPr/>
                          </p:nvPicPr>
                          <p:blipFill>
                            <a:blip r:embed="r35"/>
                            <a:srcRect/>
                            <a:stretch>
                              <a:fillRect/>
                            </a:stretch>
                          </p:blipFill>
                          <p:spPr>
                            <a:xfrm>
                              <a:off x="0" y="0"/>
                              <a:ext cx="130642" cy="130642"/>
                            </a:xfrm>
                            <a:prstGeom prst="rect"/>
                          </p:spPr>
                        </p:pic>
                      </a:graphicData>
                    </a:graphic>
                  </wp:inline>
                </w:drawing>
              </w:r>
              <w:bookmarkEnd w:id="35"/>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w:t>
            </w:r>
            <w:r>
              <w:rPr>
                <w:rFonts w:ascii="Arial" w:hAnsi="Arial"/>
                <w:b/>
                <w:color w:val="000000"/>
                <w:sz w:val="24"/>
              </w:rPr>
              <w:t xml:space="preserve"> </w:t>
            </w:r>
            <w:hyperlink r:id="r21">
              <w:bookmarkStart w:id="36" w:name="cobalt_result_case_title4"/>
              <w:r>
                <w:rPr>
                  <w:rFonts w:ascii="Arial" w:hAnsi="Arial"/>
                  <w:b/>
                  <w:color w:val="000000"/>
                  <w:sz w:val="24"/>
                </w:rPr>
                <w:t xml:space="preserve">Citizens For Preservation of Buehler Park v. City of Rolla </w:t>
              </w:r>
              <w:bookmarkEnd w:id="36"/>
            </w:hyperlink>
          </w:p>
          <w:bookmarkStart w:id="37" w:name="co_searchResults_citation_4"/>
          <w:p>
            <w:pPr>
              <w:spacing w:before="0" w:after="0" w:line="220" w:lineRule="atLeast"/>
            </w:pPr>
            <w:r>
              <w:rPr>
                <w:rFonts w:ascii="Arial" w:hAnsi="Arial"/>
                <w:color w:val="696969"/>
                <w:sz w:val="18"/>
              </w:rPr>
              <w:t>Missouri Court of Appeals, Southern District, Division One.</w:t>
            </w:r>
            <w:r>
              <w:rPr>
                <w:rFonts w:ascii="Arial" w:hAnsi="Arial"/>
                <w:color w:val="696969"/>
                <w:sz w:val="18"/>
              </w:rPr>
              <w:t xml:space="preserve"> </w:t>
            </w:r>
            <w:r>
              <w:rPr>
                <w:rFonts w:ascii="Arial" w:hAnsi="Arial"/>
                <w:color w:val="696969"/>
                <w:sz w:val="18"/>
              </w:rPr>
              <w:t>August 07, 2007</w:t>
            </w:r>
            <w:r>
              <w:rPr>
                <w:rFonts w:ascii="Arial" w:hAnsi="Arial"/>
                <w:color w:val="696969"/>
                <w:sz w:val="18"/>
              </w:rPr>
              <w:t xml:space="preserve"> </w:t>
            </w:r>
            <w:r>
              <w:rPr>
                <w:rFonts w:ascii="Arial" w:hAnsi="Arial"/>
                <w:color w:val="696969"/>
                <w:sz w:val="18"/>
              </w:rPr>
              <w:t>230 S.W.3d 635</w:t>
            </w:r>
            <w:r>
              <w:rPr>
                <w:rFonts w:ascii="Arial" w:hAnsi="Arial"/>
                <w:color w:val="696969"/>
                <w:sz w:val="18"/>
              </w:rPr>
              <w:t xml:space="preserve"> </w:t>
            </w:r>
            <w:r>
              <w:rPr>
                <w:rFonts w:ascii="Arial" w:hAnsi="Arial"/>
                <w:color w:val="696969"/>
                <w:sz w:val="18"/>
              </w:rPr>
              <w:t>2007 WL 2246602</w:t>
            </w:r>
          </w:p>
          <w:bookmarkEnd w:id="37"/>
          <w:bookmarkStart w:id="38" w:name="co_searchResults_summary_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Dedication. Deed conveying property to city dedicated it for use as a public park.</w:t>
            </w:r>
          </w:p>
          <w:bookmarkEnd w:id="3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Citizens of city petitioned for declaratory and injunctive relief to prohibit city from selling property used as city park. City's motion to dismiss was granted, and citizens appealed. The Court of Appeals, </w:t>
            </w:r>
            <w:hyperlink r:id="r22">
              <w:bookmarkStart w:id="39" w:name="co_link_I3d7c3058906f11ea80afece7991500"/>
              <w:r>
                <w:rPr>
                  <w:rFonts w:ascii="Arial" w:hAnsi="Arial"/>
                  <w:color w:val="000000"/>
                  <w:sz w:val="20"/>
                </w:rPr>
                <w:t>187 S.W.3d 359,</w:t>
              </w:r>
              <w:bookmarkEnd w:id="39"/>
            </w:hyperlink>
            <w:r>
              <w:rPr>
                <w:rFonts w:ascii="Arial" w:hAnsi="Arial"/>
                <w:color w:val="000000"/>
                <w:sz w:val="20"/>
              </w:rPr>
              <w:t xml:space="preserve"> reversed and remanded, holding that the citizens had standing to bring action. On remand, after a bench trial, the Circuit Court, Phelps County, </w:t>
            </w:r>
            <w:hyperlink r:id="r23">
              <w:bookmarkStart w:id="40" w:name="co_link_I3d7c305a906f11ea80afece7991500"/>
              <w:r>
                <w:rPr>
                  <w:rFonts w:ascii="Arial" w:hAnsi="Arial"/>
                  <w:color w:val="000000"/>
                  <w:sz w:val="20"/>
                </w:rPr>
                <w:t>Tracy L. Storie</w:t>
              </w:r>
              <w:bookmarkEnd w:id="40"/>
            </w:hyperlink>
            <w:r>
              <w:rPr>
                <w:rFonts w:ascii="Arial" w:hAnsi="Arial"/>
                <w:color w:val="000000"/>
                <w:sz w:val="20"/>
              </w:rPr>
              <w:t>, J., entered judgment in favor of city. Citizens appealed.</w:t>
            </w:r>
          </w:p>
          <w:p>
            <w:pPr>
              <w:spacing w:before="0" w:after="0" w:line="225" w:lineRule="atLeast"/>
            </w:pPr>
            <w:r>
              <w:rPr>
                <w:rFonts w:ascii="Arial" w:hAnsi="Arial"/>
                <w:color w:val="000000"/>
                <w:sz w:val="20"/>
              </w:rPr>
              <w:t>Holding:</w:t>
            </w:r>
            <w:r>
              <w:rPr>
                <w:rFonts w:ascii="Arial" w:hAnsi="Arial"/>
                <w:color w:val="000000"/>
                <w:sz w:val="20"/>
              </w:rPr>
              <w:t xml:space="preserve"> The Court of Appeals held that deed conveying property to city created a dedication of property for use as a park.</w:t>
            </w:r>
          </w:p>
          <w:p>
            <w:pPr>
              <w:spacing w:before="0" w:after="0" w:line="225" w:lineRule="atLeast"/>
            </w:pPr>
            <w:r>
              <w:rPr>
                <w:rFonts w:ascii="Arial" w:hAnsi="Arial"/>
                <w:color w:val="000000"/>
                <w:sz w:val="20"/>
              </w:rPr>
              <w:t>Reversed and remanded.</w:t>
            </w:r>
          </w:p>
          <w:p>
            <w:pPr>
              <w:spacing w:before="0" w:after="0" w:line="225" w:lineRule="atLeast"/>
            </w:pPr>
            <w:bookmarkStart w:id="41" w:name="co_document_metaInfo_I30d616bc44f711dcb"/>
            <w:bookmarkEnd w:id="41"/>
            <w:bookmarkStart w:id="42" w:name="co_documentContentCacheKey3"/>
            <w:bookmarkEnd w:id="42"/>
          </w:p>
          <w:bookmarkStart w:id="43" w:name="co_snippet_4_1"/>
          <w:p>
            <w:pPr>
              <w:spacing w:before="100" w:after="0" w:line="225" w:lineRule="atLeast"/>
            </w:pPr>
            <w:hyperlink r:id="r24">
              <w:bookmarkStart w:id="44" w:name="cobalt_result_case_snippet_4_1"/>
              <w:r>
                <w:rPr>
                  <w:rFonts w:ascii="Arial" w:hAnsi="Arial"/>
                  <w:color w:val="000000"/>
                  <w:sz w:val="20"/>
                </w:rPr>
                <w:t xml:space="preserve">...of ordinary citizens in enforcing public trusts, saying: “If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is to have any meaning or vitality at all, the...</w:t>
              </w:r>
              <w:bookmarkEnd w:id="44"/>
            </w:hyperlink>
          </w:p>
          <w:bookmarkEnd w:id="43"/>
        </w:tc>
      </w:tr>
      <w:bookmarkEnd w:id="34"/>
      <w:bookmarkStart w:id="45" w:name="cobalt_search_results_case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w:t>
            </w:r>
            <w:r>
              <w:rPr>
                <w:rFonts w:ascii="Arial" w:hAnsi="Arial"/>
                <w:b/>
                <w:color w:val="000000"/>
                <w:sz w:val="24"/>
              </w:rPr>
              <w:t xml:space="preserve"> </w:t>
            </w:r>
            <w:hyperlink r:id="r25">
              <w:bookmarkStart w:id="46" w:name="cobalt_result_case_title5"/>
              <w:r>
                <w:rPr>
                  <w:rFonts w:ascii="Arial" w:hAnsi="Arial"/>
                  <w:b/>
                  <w:color w:val="000000"/>
                  <w:sz w:val="24"/>
                </w:rPr>
                <w:t xml:space="preserve">Stewart v. Hoover </w:t>
              </w:r>
              <w:bookmarkEnd w:id="46"/>
            </w:hyperlink>
          </w:p>
          <w:bookmarkStart w:id="47" w:name="co_searchResults_citation_5"/>
          <w:p>
            <w:pPr>
              <w:spacing w:before="0" w:after="0" w:line="220" w:lineRule="atLeast"/>
            </w:pPr>
            <w:r>
              <w:rPr>
                <w:rFonts w:ascii="Arial" w:hAnsi="Arial"/>
                <w:color w:val="696969"/>
                <w:sz w:val="18"/>
              </w:rPr>
              <w:t>Supreme Court of Mississippi.</w:t>
            </w:r>
            <w:r>
              <w:rPr>
                <w:rFonts w:ascii="Arial" w:hAnsi="Arial"/>
                <w:color w:val="696969"/>
                <w:sz w:val="18"/>
              </w:rPr>
              <w:t xml:space="preserve"> </w:t>
            </w:r>
            <w:r>
              <w:rPr>
                <w:rFonts w:ascii="Arial" w:hAnsi="Arial"/>
                <w:color w:val="696969"/>
                <w:sz w:val="18"/>
              </w:rPr>
              <w:t>April 18, 2002</w:t>
            </w:r>
            <w:r>
              <w:rPr>
                <w:rFonts w:ascii="Arial" w:hAnsi="Arial"/>
                <w:color w:val="696969"/>
                <w:sz w:val="18"/>
              </w:rPr>
              <w:t xml:space="preserve"> </w:t>
            </w:r>
            <w:r>
              <w:rPr>
                <w:rFonts w:ascii="Arial" w:hAnsi="Arial"/>
                <w:color w:val="696969"/>
                <w:sz w:val="18"/>
              </w:rPr>
              <w:t>815 So.2d 1157</w:t>
            </w:r>
            <w:r>
              <w:rPr>
                <w:rFonts w:ascii="Arial" w:hAnsi="Arial"/>
                <w:color w:val="696969"/>
                <w:sz w:val="18"/>
              </w:rPr>
              <w:t xml:space="preserve"> </w:t>
            </w:r>
            <w:r>
              <w:rPr>
                <w:rFonts w:ascii="Arial" w:hAnsi="Arial"/>
                <w:color w:val="696969"/>
                <w:sz w:val="18"/>
              </w:rPr>
              <w:t>2002 WL 595145</w:t>
            </w:r>
          </w:p>
          <w:bookmarkEnd w:id="47"/>
          <w:p>
            <w:pPr>
              <w:pBdr>
                <w:top w:val="none" w:space="3"/>
              </w:pBdr>
              <w:spacing w:before="0" w:after="0" w:line="225" w:lineRule="atLeast"/>
            </w:pPr>
            <w:r>
              <w:rPr>
                <w:rFonts w:ascii="Arial" w:hAnsi="Arial"/>
                <w:color w:val="000000"/>
                <w:sz w:val="20"/>
              </w:rPr>
              <w:drawing>
                <wp:inline>
                  <wp:extent cx="190500" cy="85725"/>
                  <wp:docPr id="5" name="Picture 2"/>
                  <a:graphic>
                    <a:graphicData uri="http://schemas.openxmlformats.org/drawingml/2006/picture">
                      <p:pic>
                        <p:nvPicPr>
                          <p:cNvPr id="6" name="Picture 2"/>
                          <p:cNvPicPr/>
                        </p:nvPicPr>
                        <p:blipFill>
                          <a:blip r:embed="r36"/>
                          <a:srcRect/>
                          <a:stretch>
                            <a:fillRect/>
                          </a:stretch>
                        </p:blipFill>
                        <p:spPr>
                          <a:xfrm>
                            <a:off x="0" y="0"/>
                            <a:ext cx="190500" cy="85725"/>
                          </a:xfrm>
                          <a:prstGeom prst="rect"/>
                        </p:spPr>
                      </p:pic>
                    </a:graphicData>
                  </a:graphic>
                </wp:inline>
              </w:drawing>
            </w:r>
          </w:p>
          <w:bookmarkStart w:id="48" w:name="co_searchResults_summary_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Property. State did not lose public trust tidelands by oversight in mapping process.</w:t>
            </w:r>
          </w:p>
          <w:bookmarkEnd w:id="4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Landowner brought action against adjoining landowners for injunction requiring removal of their T-shaped pier across tidewater marshland. State intervened claiming ownership of tidelands. The Chancery Court, Jackson County, </w:t>
            </w:r>
            <w:hyperlink r:id="r26">
              <w:bookmarkStart w:id="49" w:name="co_link_Idbaefb9da66011eabea3f0dc9fb695"/>
              <w:r>
                <w:rPr>
                  <w:rFonts w:ascii="Arial" w:hAnsi="Arial"/>
                  <w:color w:val="000000"/>
                  <w:sz w:val="20"/>
                </w:rPr>
                <w:t>Glenn Barlow</w:t>
              </w:r>
              <w:bookmarkEnd w:id="49"/>
            </w:hyperlink>
            <w:r>
              <w:rPr>
                <w:rFonts w:ascii="Arial" w:hAnsi="Arial"/>
                <w:color w:val="000000"/>
                <w:sz w:val="20"/>
              </w:rPr>
              <w:t xml:space="preserve">, Chancellor, entered summary judgment in favor of pier owners and state. Landowner appealed. The Supreme Court, </w:t>
            </w:r>
            <w:hyperlink r:id="r27">
              <w:bookmarkStart w:id="50" w:name="co_link_Idbaefb9ea66011eabea3f0dc9fb695"/>
              <w:r>
                <w:rPr>
                  <w:rFonts w:ascii="Arial" w:hAnsi="Arial"/>
                  <w:color w:val="000000"/>
                  <w:sz w:val="20"/>
                </w:rPr>
                <w:t>Waller</w:t>
              </w:r>
              <w:bookmarkEnd w:id="50"/>
            </w:hyperlink>
            <w:r>
              <w:rPr>
                <w:rFonts w:ascii="Arial" w:hAnsi="Arial"/>
                <w:color w:val="000000"/>
                <w:sz w:val="20"/>
              </w:rPr>
              <w:t>, J., held that: (1) state did not lose public trust tidelands by an oversight in the mapping process, and (2) pier owners, not the landowner, had the littoral rights.</w:t>
            </w:r>
          </w:p>
          <w:p>
            <w:pPr>
              <w:spacing w:before="0" w:after="0" w:line="225" w:lineRule="atLeast"/>
            </w:pPr>
            <w:r>
              <w:rPr>
                <w:rFonts w:ascii="Arial" w:hAnsi="Arial"/>
                <w:color w:val="000000"/>
                <w:sz w:val="20"/>
              </w:rPr>
              <w:t>Affirmed.</w:t>
            </w:r>
          </w:p>
          <w:p>
            <w:pPr>
              <w:spacing w:before="0" w:after="0" w:line="225" w:lineRule="atLeast"/>
            </w:pPr>
            <w:hyperlink r:id="r28">
              <w:bookmarkStart w:id="51" w:name="co_link_Idbaefba0a66011eabea3f0dc9fb695"/>
              <w:r>
                <w:rPr>
                  <w:rFonts w:ascii="Arial" w:hAnsi="Arial"/>
                  <w:color w:val="000000"/>
                  <w:sz w:val="20"/>
                </w:rPr>
                <w:t>McRae</w:t>
              </w:r>
              <w:bookmarkEnd w:id="51"/>
            </w:hyperlink>
            <w:r>
              <w:rPr>
                <w:rFonts w:ascii="Arial" w:hAnsi="Arial"/>
                <w:color w:val="000000"/>
                <w:sz w:val="20"/>
              </w:rPr>
              <w:t>, P.J., dissented.</w:t>
            </w:r>
          </w:p>
          <w:p>
            <w:pPr>
              <w:spacing w:before="0" w:after="0" w:line="225" w:lineRule="atLeast"/>
            </w:pPr>
            <w:r>
              <w:rPr>
                <w:rFonts w:ascii="Arial" w:hAnsi="Arial"/>
                <w:color w:val="000000"/>
                <w:sz w:val="20"/>
              </w:rPr>
              <w:t>Easley, J., concurred in part and dissented in part.</w:t>
            </w:r>
          </w:p>
          <w:p>
            <w:pPr>
              <w:spacing w:before="0" w:after="0" w:line="225" w:lineRule="atLeast"/>
            </w:pPr>
            <w:bookmarkStart w:id="52" w:name="co_document_metaInfo_I17015a180e9911d9b"/>
            <w:bookmarkEnd w:id="52"/>
            <w:bookmarkStart w:id="53" w:name="co_documentContentCacheKey4"/>
            <w:bookmarkEnd w:id="53"/>
          </w:p>
          <w:bookmarkStart w:id="54" w:name="co_snippet_5_1"/>
          <w:p>
            <w:pPr>
              <w:spacing w:before="100" w:after="0" w:line="225" w:lineRule="atLeast"/>
            </w:pPr>
            <w:hyperlink r:id="r29">
              <w:bookmarkStart w:id="55" w:name="cobalt_result_case_snippet_5_1"/>
              <w:r>
                <w:rPr>
                  <w:rFonts w:ascii="Arial" w:hAnsi="Arial"/>
                  <w:color w:val="000000"/>
                  <w:sz w:val="20"/>
                </w:rPr>
                <w:t xml:space="preserve">...8 Miss. C.L.Rev. (1987) for a general history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its application in Mississippi. ¶8. The extent of...</w:t>
              </w:r>
              <w:bookmarkEnd w:id="55"/>
            </w:hyperlink>
          </w:p>
          <w:bookmarkEnd w:id="54"/>
        </w:tc>
      </w:tr>
      <w:bookmarkEnd w:id="45"/>
      <w:bookmarkStart w:id="56" w:name="cobalt_search_results_case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w:t>
            </w:r>
            <w:r>
              <w:rPr>
                <w:rFonts w:ascii="Arial" w:hAnsi="Arial"/>
                <w:b/>
                <w:color w:val="000000"/>
                <w:sz w:val="24"/>
              </w:rPr>
              <w:t xml:space="preserve"> </w:t>
            </w:r>
            <w:hyperlink r:id="r30">
              <w:bookmarkStart w:id="57" w:name="cobalt_result_case_title6"/>
              <w:r>
                <w:rPr>
                  <w:rFonts w:ascii="Arial" w:hAnsi="Arial"/>
                  <w:b/>
                  <w:color w:val="000000"/>
                  <w:sz w:val="24"/>
                </w:rPr>
                <w:t xml:space="preserve">State v. Murphy </w:t>
              </w:r>
              <w:bookmarkEnd w:id="57"/>
            </w:hyperlink>
          </w:p>
          <w:bookmarkStart w:id="58" w:name="co_searchResults_citation_6"/>
          <w:p>
            <w:pPr>
              <w:spacing w:before="0" w:after="0" w:line="220" w:lineRule="atLeast"/>
            </w:pPr>
            <w:r>
              <w:rPr>
                <w:rFonts w:ascii="Arial" w:hAnsi="Arial"/>
                <w:color w:val="696969"/>
                <w:sz w:val="18"/>
              </w:rPr>
              <w:t>Supreme Court of Mississippi.</w:t>
            </w:r>
            <w:r>
              <w:rPr>
                <w:rFonts w:ascii="Arial" w:hAnsi="Arial"/>
                <w:color w:val="696969"/>
                <w:sz w:val="18"/>
              </w:rPr>
              <w:t xml:space="preserve"> </w:t>
            </w:r>
            <w:r>
              <w:rPr>
                <w:rFonts w:ascii="Arial" w:hAnsi="Arial"/>
                <w:color w:val="696969"/>
                <w:sz w:val="18"/>
              </w:rPr>
              <w:t>October 27, 2016</w:t>
            </w:r>
            <w:r>
              <w:rPr>
                <w:rFonts w:ascii="Arial" w:hAnsi="Arial"/>
                <w:color w:val="696969"/>
                <w:sz w:val="18"/>
              </w:rPr>
              <w:t xml:space="preserve"> </w:t>
            </w:r>
            <w:r>
              <w:rPr>
                <w:rFonts w:ascii="Arial" w:hAnsi="Arial"/>
                <w:color w:val="696969"/>
                <w:sz w:val="18"/>
              </w:rPr>
              <w:t>202 So.3d 1243</w:t>
            </w:r>
            <w:r>
              <w:rPr>
                <w:rFonts w:ascii="Arial" w:hAnsi="Arial"/>
                <w:color w:val="696969"/>
                <w:sz w:val="18"/>
              </w:rPr>
              <w:t xml:space="preserve"> </w:t>
            </w:r>
            <w:r>
              <w:rPr>
                <w:rFonts w:ascii="Arial" w:hAnsi="Arial"/>
                <w:color w:val="696969"/>
                <w:sz w:val="18"/>
              </w:rPr>
              <w:t>2016 WL 6427112</w:t>
            </w:r>
          </w:p>
          <w:bookmarkEnd w:id="58"/>
          <w:bookmarkStart w:id="59" w:name="co_searchResults_summary_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Eminent Domain. Issue of whether State owned all property east of seawall, on which city built harbor, was for jury in property owners' inverse condemnation action.</w:t>
            </w:r>
          </w:p>
          <w:bookmarkEnd w:id="5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Property owners brought inverse condemnation action against State and city, after city constructed municipal harbor on disputed property. After a jury trial, the Circuit Court, Hancock County, </w:t>
            </w:r>
            <w:hyperlink r:id="r31">
              <w:bookmarkStart w:id="60" w:name="co_link_I7c09abf0ff0811e88877c77c046e05"/>
              <w:r>
                <w:rPr>
                  <w:rFonts w:ascii="Arial" w:hAnsi="Arial"/>
                  <w:color w:val="000000"/>
                  <w:sz w:val="20"/>
                </w:rPr>
                <w:t>Lisa P. Dodson</w:t>
              </w:r>
              <w:bookmarkEnd w:id="60"/>
            </w:hyperlink>
            <w:r>
              <w:rPr>
                <w:rFonts w:ascii="Arial" w:hAnsi="Arial"/>
                <w:color w:val="000000"/>
                <w:sz w:val="20"/>
              </w:rPr>
              <w:t>, J., found State liable. State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32">
              <w:bookmarkStart w:id="61" w:name="co_link_I473bae40a1cd11e6abd6df0b09e677"/>
              <w:r>
                <w:rPr>
                  <w:rFonts w:ascii="Arial" w:hAnsi="Arial"/>
                  <w:color w:val="000000"/>
                  <w:sz w:val="20"/>
                </w:rPr>
                <w:t>Waller</w:t>
              </w:r>
              <w:bookmarkEnd w:id="61"/>
            </w:hyperlink>
            <w:r>
              <w:rPr>
                <w:rFonts w:ascii="Arial" w:hAnsi="Arial"/>
                <w:color w:val="000000"/>
                <w:sz w:val="20"/>
              </w:rPr>
              <w:t>, C.J., held that:</w:t>
            </w:r>
          </w:p>
          <w:p>
            <w:pPr>
              <w:spacing w:before="0" w:after="0" w:line="225" w:lineRule="atLeast"/>
            </w:pPr>
            <w:r>
              <w:rPr>
                <w:rFonts w:ascii="Arial" w:hAnsi="Arial"/>
                <w:color w:val="000000"/>
                <w:sz w:val="20"/>
              </w:rPr>
              <w:t>1 issue of whether State owned disputed property was for jury;</w:t>
            </w:r>
          </w:p>
          <w:p>
            <w:pPr>
              <w:spacing w:before="0" w:after="0" w:line="225" w:lineRule="atLeast"/>
            </w:pPr>
            <w:r>
              <w:rPr>
                <w:rFonts w:ascii="Arial" w:hAnsi="Arial"/>
                <w:color w:val="000000"/>
                <w:sz w:val="20"/>
              </w:rPr>
              <w:t>2 cause of action accrued when property was actually taken;</w:t>
            </w:r>
          </w:p>
          <w:p>
            <w:pPr>
              <w:spacing w:before="0" w:after="0" w:line="225" w:lineRule="atLeast"/>
            </w:pPr>
            <w:r>
              <w:rPr>
                <w:rFonts w:ascii="Arial" w:hAnsi="Arial"/>
                <w:color w:val="000000"/>
                <w:sz w:val="20"/>
              </w:rPr>
              <w:t>3 owners' expert did not include noncompensable littoral rights in his calculation of damages;</w:t>
            </w:r>
          </w:p>
          <w:p>
            <w:pPr>
              <w:spacing w:before="0" w:after="0" w:line="225" w:lineRule="atLeast"/>
            </w:pPr>
            <w:r>
              <w:rPr>
                <w:rFonts w:ascii="Arial" w:hAnsi="Arial"/>
                <w:color w:val="000000"/>
                <w:sz w:val="20"/>
              </w:rPr>
              <w:t>4 weight of the evidence supported jury's finding that property owners owned disputed property;</w:t>
            </w:r>
          </w:p>
          <w:p>
            <w:pPr>
              <w:spacing w:before="0" w:after="0" w:line="225" w:lineRule="atLeast"/>
            </w:pPr>
            <w:r>
              <w:rPr>
                <w:rFonts w:ascii="Arial" w:hAnsi="Arial"/>
                <w:color w:val="000000"/>
                <w:sz w:val="20"/>
              </w:rPr>
              <w:t>5 State was not prejudiced by the decision to admit city's deemed admissions;</w:t>
            </w:r>
          </w:p>
          <w:p>
            <w:pPr>
              <w:spacing w:before="0" w:after="0" w:line="225" w:lineRule="atLeast"/>
            </w:pPr>
            <w:r>
              <w:rPr>
                <w:rFonts w:ascii="Arial" w:hAnsi="Arial"/>
                <w:color w:val="000000"/>
                <w:sz w:val="20"/>
              </w:rPr>
              <w:t>6 jury's verdict did not exhibit impermissible prejudice or bias against State; and</w:t>
            </w:r>
          </w:p>
          <w:p>
            <w:pPr>
              <w:spacing w:before="0" w:after="0" w:line="225" w:lineRule="atLeast"/>
            </w:pPr>
            <w:r>
              <w:rPr>
                <w:rFonts w:ascii="Arial" w:hAnsi="Arial"/>
                <w:color w:val="000000"/>
                <w:sz w:val="20"/>
              </w:rPr>
              <w:t>7 State was not entitled remittitur.</w:t>
            </w:r>
          </w:p>
          <w:p>
            <w:pPr>
              <w:spacing w:before="0" w:after="0" w:line="225" w:lineRule="atLeast"/>
            </w:pPr>
            <w:r>
              <w:rPr>
                <w:rFonts w:ascii="Arial" w:hAnsi="Arial"/>
                <w:color w:val="000000"/>
                <w:sz w:val="20"/>
              </w:rPr>
              <w:t>Affirmed.</w:t>
            </w:r>
          </w:p>
          <w:p>
            <w:pPr>
              <w:spacing w:before="0" w:after="0" w:line="225" w:lineRule="atLeast"/>
            </w:pPr>
            <w:bookmarkStart w:id="62" w:name="co_document_metaInfo_Iee1ab9109cf811e69"/>
            <w:bookmarkEnd w:id="62"/>
            <w:bookmarkStart w:id="63" w:name="co_documentContentCacheKey5"/>
            <w:bookmarkEnd w:id="63"/>
          </w:p>
          <w:bookmarkStart w:id="64" w:name="co_snippet_6_1"/>
          <w:p>
            <w:pPr>
              <w:spacing w:before="100" w:after="0" w:line="225" w:lineRule="atLeast"/>
            </w:pPr>
            <w:hyperlink r:id="r33">
              <w:bookmarkStart w:id="65" w:name="cobalt_result_case_snippet_6_1"/>
              <w:r>
                <w:rPr>
                  <w:rFonts w:ascii="Arial" w:hAnsi="Arial"/>
                  <w:color w:val="000000"/>
                  <w:sz w:val="20"/>
                </w:rPr>
                <w:t xml:space="preserve">...Tidelands, Flats, and Foreshore 405 2660 k. Public trust.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provides that the state is the absolute owner of the...</w:t>
              </w:r>
              <w:bookmarkEnd w:id="65"/>
            </w:hyperlink>
          </w:p>
          <w:bookmarkEnd w:id="64"/>
          <w:bookmarkStart w:id="66" w:name="co_snippet_6_2"/>
          <w:p>
            <w:pPr>
              <w:spacing w:before="100" w:after="0" w:line="225" w:lineRule="atLeast"/>
            </w:pPr>
            <w:hyperlink r:id="r34">
              <w:bookmarkStart w:id="67" w:name="cobalt_result_case_snippet_6_2"/>
              <w:r>
                <w:rPr>
                  <w:rFonts w:ascii="Arial" w:hAnsi="Arial"/>
                  <w:color w:val="000000"/>
                  <w:sz w:val="20"/>
                </w:rPr>
                <w:t xml:space="preserve">...east of the Old Seawall is based generally 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which provides that the State is the “absolute owner of...</w:t>
              </w:r>
              <w:bookmarkEnd w:id="67"/>
            </w:hyperlink>
          </w:p>
          <w:bookmarkEnd w:id="66"/>
        </w:tc>
      </w:tr>
      <w:bookmarkEnd w:id="56"/>
    </w:tbl>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2375"/>
      <w:gridCol w:w="915"/>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666750" cy="85481"/>
                <wp:docPr id="7" name="Picture 0" descr="Westlaw Logo"/>
                <a:graphic>
                  <a:graphicData uri="http://schemas.openxmlformats.org/drawingml/2006/picture">
                    <p:pic>
                      <p:nvPicPr>
                        <p:cNvPr id="8" name="Picture 0" descr="Westlaw Logo"/>
                        <p:cNvPicPr/>
                      </p:nvPicPr>
                      <p:blipFill>
                        <a:blip r:embed="r1"/>
                        <a:srcRect/>
                        <a:stretch>
                          <a:fillRect/>
                        </a:stretch>
                      </p:blipFill>
                      <p:spPr>
                        <a:xfrm>
                          <a:off x="0" y="0"/>
                          <a:ext cx="666750" cy="85481"/>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000000"/>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3260"/>
    </w:tblGrid>
    <w:tr>
      <w:tblPrEx/>
      <w:trPr/>
      <w:tc>
        <w:tcPr>
          <w:tcBorders>
            <w:bottom w:val="single" w:sz="6" w:color="aaaaaa"/>
          </w:tcBorders>
          <w:tcMar>
            <w:bottom w:w="60" w:type="dxa"/>
          </w:tcMar>
          <w:vAlign w:val="bottom"/>
        </w:tcPr>
        <w:p>
          <w:pPr>
            <w:spacing w:before="0" w:after="0" w:line="240" w:lineRule="auto"/>
          </w:pPr>
          <w:r>
            <w:rPr>
              <w:rFonts w:ascii="Arial" w:hAnsi="Arial"/>
              <w:b/>
              <w:color w:val="555555"/>
              <w:sz w:val="18"/>
            </w:rPr>
            <w:t>List of 6 results for adv: "public trust doctrine"</w:t>
          </w:r>
        </w:p>
      </w:tc>
    </w:tr>
  </w:tbl>
  <w:p>
    <w:pPr>
      <w:tabs>
        <w:tab w:val="left" w:pos="5040"/>
      </w:tabs>
      <w:spacing w:before="0" w:after="0" w:line="240" w:lineRule="auto"/>
    </w:pPr>
    <w:r>
      <w:rPr>
        <w:rFonts w:ascii="Arial" w:hAnsi="Arial"/>
        <w:color w:val="000000"/>
        <w:sz w:val="18"/>
      </w:rPr>
      <w:tab/>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